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76" w:lineRule="auto"/>
        <w:ind w:left="0" w:right="0" w:firstLine="0"/>
        <w:jc w:val="center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36"/>
          <w:szCs w:val="36"/>
          <w:u w:val="none"/>
          <w:shd w:val="clear" w:fill="auto"/>
          <w:vertAlign w:val="baseline"/>
        </w:rPr>
      </w:pPr>
      <w:bookmarkStart w:id="1" w:name="_GoBack"/>
      <w:bookmarkEnd w:id="1"/>
      <w:bookmarkStart w:id="0" w:name="gjdgxs" w:colFirst="0" w:colLast="0"/>
      <w:bookmarkEnd w:id="0"/>
      <w:r>
        <w:rPr>
          <w:rFonts w:ascii="Gungsuh" w:hAnsi="Gungsuh" w:eastAsia="Gungsuh" w:cs="Gungsuh"/>
          <w:b w:val="0"/>
          <w:i w:val="0"/>
          <w:smallCaps w:val="0"/>
          <w:strike w:val="0"/>
          <w:color w:val="000000"/>
          <w:sz w:val="36"/>
          <w:szCs w:val="36"/>
          <w:u w:val="none"/>
          <w:shd w:val="clear" w:fill="auto"/>
          <w:vertAlign w:val="baseline"/>
          <w:rtl w:val="0"/>
        </w:rPr>
        <w:t>《北大法律评论》引征体例</w:t>
      </w:r>
    </w:p>
    <w:p>
      <w:pPr>
        <w:keepNext w:val="0"/>
        <w:keepLines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76" w:lineRule="auto"/>
        <w:ind w:left="0" w:right="0" w:firstLine="0"/>
        <w:jc w:val="center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1"/>
          <w:szCs w:val="21"/>
          <w:u w:val="none"/>
          <w:shd w:val="clear" w:fill="auto"/>
          <w:vertAlign w:val="baseline"/>
        </w:rPr>
      </w:pPr>
      <w:r>
        <w:rPr>
          <w:rFonts w:ascii="Gungsuh" w:hAnsi="Gungsuh" w:eastAsia="Gungsuh" w:cs="Gungsuh"/>
          <w:b w:val="0"/>
          <w:i w:val="0"/>
          <w:smallCaps w:val="0"/>
          <w:strike w:val="0"/>
          <w:color w:val="000000"/>
          <w:sz w:val="21"/>
          <w:szCs w:val="21"/>
          <w:u w:val="none"/>
          <w:shd w:val="clear" w:fill="auto"/>
          <w:vertAlign w:val="baseline"/>
          <w:rtl w:val="0"/>
        </w:rPr>
        <w:t>（2019.7.30修订版）</w:t>
      </w:r>
    </w:p>
    <w:p>
      <w:pPr>
        <w:keepNext w:val="0"/>
        <w:keepLines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76" w:lineRule="auto"/>
        <w:ind w:left="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1"/>
          <w:szCs w:val="21"/>
          <w:u w:val="none"/>
          <w:shd w:val="clear" w:fill="auto"/>
          <w:vertAlign w:val="baseline"/>
        </w:rPr>
      </w:pPr>
    </w:p>
    <w:p>
      <w:pPr>
        <w:keepNext w:val="0"/>
        <w:keepLines w:val="0"/>
        <w:widowControl/>
        <w:suppressLineNumbers w:val="0"/>
        <w:jc w:val="left"/>
        <w:rPr>
          <w:sz w:val="21"/>
          <w:szCs w:val="21"/>
        </w:rPr>
      </w:pPr>
      <w:r>
        <w:rPr>
          <w:rStyle w:val="13"/>
          <w:rFonts w:ascii="宋体" w:hAnsi="宋体" w:eastAsia="宋体" w:cs="宋体"/>
          <w:color w:val="000000"/>
          <w:kern w:val="0"/>
          <w:sz w:val="21"/>
          <w:szCs w:val="21"/>
          <w:lang w:val="en-US" w:eastAsia="zh-CN" w:bidi="ar"/>
        </w:rPr>
        <w:t>一、援用本刊规范：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苏力：《作为社会控制的文学与法律——从元杂剧切入》，载《北大法律评论》第7卷第1辑，北京大学出版社2006年版，第132页。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 </w:t>
      </w:r>
    </w:p>
    <w:p>
      <w:pPr>
        <w:keepNext w:val="0"/>
        <w:keepLines w:val="0"/>
        <w:widowControl/>
        <w:suppressLineNumbers w:val="0"/>
        <w:jc w:val="left"/>
        <w:rPr>
          <w:sz w:val="21"/>
          <w:szCs w:val="21"/>
        </w:rPr>
      </w:pPr>
      <w:r>
        <w:rPr>
          <w:rStyle w:val="13"/>
          <w:rFonts w:ascii="宋体" w:hAnsi="宋体" w:eastAsia="宋体" w:cs="宋体"/>
          <w:color w:val="000000"/>
          <w:kern w:val="0"/>
          <w:sz w:val="21"/>
          <w:szCs w:val="21"/>
          <w:lang w:val="en-US" w:eastAsia="zh-CN" w:bidi="ar"/>
        </w:rPr>
        <w:t>二、一般体例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1. 引征应能体现所援用文献、资料等的信息特点，能（1）与其他文献、资料等相区别；（2）能说明该文献、资料等的相关来源，方便读者查找。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2. 引征注释以页下脚注形式连续编排。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3. 正文中出现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  <w:u w:val="single"/>
        </w:rPr>
        <w:t>一百字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以上的引文，不必加注引号，直接将引文部分左边缩排两格，并使用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  <w:u w:val="single"/>
        </w:rPr>
        <w:t>楷体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字予以区分。一百字以下引文，加注引号，直接放在正文中。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4. 直接引征不使用引导词；其他情况，分别按照以下规则处理：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（1）间接引征（概括引用大意）的，须在所引征的文献前加引导词“参见”（see; vgl）。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（2）同一文献有不同出处，需要互相印证的，可以写“又见”（also see; siehe auch）。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（3）引征二手文献、资料，需注明该原始文献资料的作者、标题，并在其后标注“转引自”（cited in; zitiert nach）及该援引的文献、资料等。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5. 文章来源于期刊(含以书代刊的连续出版物以及独立作品组成的文集)、报纸和网络，文献来源一律标注“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  <w:highlight w:val="yellow"/>
        </w:rPr>
        <w:t>载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”。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6. 作者（包括编者、译者、机构作者等）为三人以上时，仅列出第一人，使用“等”予以省略。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7. 引征信札、访谈、演讲、电影、电视、广播、录音、未刊稿等文献、资料等，在其后注明资料形成时间、地点或出品时间、出品机构等能显示其独立存在的特征。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8. 不提倡引征作者自己的未刊稿，除非是即将出版或已经在一定范围内公开的。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9. 引征网页的出处仅限于大型学术网站或新闻网站，但应附有准确的网页链接地址，并注明文献资料的上传时间，如无上传时间的，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  <w:highlight w:val="yellow"/>
        </w:rPr>
        <w:t>注明最后访问时间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（从学术网站上下载的单篇完整引文献的，可直接参见下述相应的引征体例进行标注，无需注明访问日期）。一般不提倡引征BBS、BLOG等普通用户可以任意删改的网络资料。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10. 翻译文章中，译者需要对专有名词进行解释说明，并以【*译注】的方式在脚注中表明；如译者对原文内容进行实质性补充论述或举出相反例证的，应以【*译按】的方式在脚注中表明。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11. 同一注释里如需罗列多条同类文献的，</w:t>
      </w:r>
      <w:r>
        <w:rPr>
          <w:rFonts w:hint="default" w:ascii="Arial" w:hAnsi="Arial" w:cs="Arial"/>
          <w:b w:val="0"/>
          <w:i w:val="0"/>
          <w:caps w:val="0"/>
          <w:color w:val="FF0000"/>
          <w:spacing w:val="11"/>
          <w:sz w:val="21"/>
          <w:szCs w:val="21"/>
        </w:rPr>
        <w:t>一般按时间顺序排列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，用分号隔开（但依论证重要程度排列的文献次序除外）。同一注释里中外文文献混合排列的，结尾所使用的句号以最后文献的语种所对应的格式为准。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12. 英文、德文、日文和法文以外作品的引征，可遵从该文种的学术引征惯例，但须清楚可循。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13. 其他未尽事宜，参见本刊近期已刊登文章的处理办法。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 </w:t>
      </w:r>
    </w:p>
    <w:p>
      <w:pPr>
        <w:keepNext w:val="0"/>
        <w:keepLines w:val="0"/>
        <w:widowControl/>
        <w:numPr>
          <w:ilvl w:val="0"/>
          <w:numId w:val="1"/>
        </w:numPr>
        <w:suppressLineNumbers w:val="0"/>
        <w:jc w:val="left"/>
        <w:rPr>
          <w:rStyle w:val="13"/>
          <w:rFonts w:ascii="宋体" w:hAnsi="宋体" w:eastAsia="宋体" w:cs="宋体"/>
          <w:color w:val="000000"/>
          <w:kern w:val="0"/>
          <w:sz w:val="21"/>
          <w:szCs w:val="21"/>
          <w:lang w:val="en-US" w:eastAsia="zh-CN" w:bidi="ar"/>
        </w:rPr>
      </w:pPr>
      <w:r>
        <w:rPr>
          <w:rStyle w:val="13"/>
          <w:rFonts w:ascii="宋体" w:hAnsi="宋体" w:eastAsia="宋体" w:cs="宋体"/>
          <w:color w:val="000000"/>
          <w:kern w:val="0"/>
          <w:sz w:val="21"/>
          <w:szCs w:val="21"/>
          <w:lang w:val="en-US" w:eastAsia="zh-CN" w:bidi="ar"/>
        </w:rPr>
        <w:t>脚注格式</w:t>
      </w: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ind w:firstLine="420" w:firstLineChars="200"/>
        <w:jc w:val="left"/>
        <w:rPr>
          <w:sz w:val="21"/>
          <w:szCs w:val="21"/>
        </w:rPr>
      </w:pPr>
      <w:r>
        <w:rPr>
          <w:rStyle w:val="13"/>
          <w:rFonts w:ascii="宋体" w:hAnsi="宋体" w:eastAsia="宋体" w:cs="宋体"/>
          <w:color w:val="000000"/>
          <w:kern w:val="0"/>
          <w:sz w:val="21"/>
          <w:szCs w:val="21"/>
          <w:lang w:val="en-US" w:eastAsia="zh-CN" w:bidi="ar"/>
        </w:rPr>
        <w:t>（一）中文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Style w:val="13"/>
          <w:rFonts w:hint="default" w:ascii="Arial" w:hAnsi="Arial" w:cs="Arial"/>
          <w:i w:val="0"/>
          <w:caps w:val="0"/>
          <w:color w:val="000000"/>
          <w:spacing w:val="11"/>
          <w:sz w:val="21"/>
          <w:szCs w:val="21"/>
        </w:rPr>
        <w:t>1.著作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 朱慈蕴：《公司法人格否认法理研究》，法律出版社1998年版，第32页。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Style w:val="13"/>
          <w:rFonts w:hint="default" w:ascii="Arial" w:hAnsi="Arial" w:cs="Arial"/>
          <w:i w:val="0"/>
          <w:caps w:val="0"/>
          <w:color w:val="000000"/>
          <w:spacing w:val="11"/>
          <w:sz w:val="21"/>
          <w:szCs w:val="21"/>
        </w:rPr>
        <w:t>2. 译作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 孟德斯鸠：《论法的精神》（下册），张雁深译，商务印书馆1963年版，第32页。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Style w:val="13"/>
          <w:rFonts w:hint="default" w:ascii="Arial" w:hAnsi="Arial" w:cs="Arial"/>
          <w:i w:val="0"/>
          <w:caps w:val="0"/>
          <w:color w:val="000000"/>
          <w:spacing w:val="11"/>
          <w:sz w:val="21"/>
          <w:szCs w:val="21"/>
        </w:rPr>
        <w:t>3. 编辑（主编）作品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 朱景文主编：《对西方法律传统的挑战——美国批判法律研究运动》，中国检察出版社1996年版，第32页。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Style w:val="13"/>
          <w:rFonts w:hint="default" w:ascii="Arial" w:hAnsi="Arial" w:cs="Arial"/>
          <w:i w:val="0"/>
          <w:caps w:val="0"/>
          <w:color w:val="000000"/>
          <w:spacing w:val="11"/>
          <w:sz w:val="21"/>
          <w:szCs w:val="21"/>
        </w:rPr>
        <w:t>4. 杂志/报刊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 张维迎、柯荣住：《诉讼过程中的逆向选择及其解释──以契约纠纷的基层法院判决书为例的经验研究》，载《中国社会科学》2002年第2期，第40页。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 刘晓林：《行政许可法带给我们什么》，载《人民日报》（海外版）2003年9月6日，第八版。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Style w:val="13"/>
          <w:rFonts w:hint="default" w:ascii="Arial" w:hAnsi="Arial" w:cs="Arial"/>
          <w:i w:val="0"/>
          <w:caps w:val="0"/>
          <w:color w:val="000000"/>
          <w:spacing w:val="11"/>
          <w:sz w:val="21"/>
          <w:szCs w:val="21"/>
        </w:rPr>
        <w:t>5. 著作中的文章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 宋格文：《天人之间：汉代的契约与国家》，李明德译，载高道蕴等主编：《美国学者论中国法律传统》，中国政法大学出版社1994年版，第32页。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Style w:val="13"/>
          <w:rFonts w:hint="default" w:ascii="Arial" w:hAnsi="Arial" w:cs="Arial"/>
          <w:i w:val="0"/>
          <w:caps w:val="0"/>
          <w:color w:val="000000"/>
          <w:spacing w:val="11"/>
          <w:sz w:val="21"/>
          <w:szCs w:val="21"/>
        </w:rPr>
        <w:t>6. 裁判文书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【仅标注与裁判文书本身相关的信息】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 最高人民法院指导性案例93号：于欢故意伤害案，2018年6月20日发布。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 江苏省无锡市滨湖区人民法院（2015）锡滨民初字第01033号民事判决书。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*《陆红霞诉南通市发展和改革委员会政府信息公开答复案》，载《最高人民法院公报》 2015 年第 11 期。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Style w:val="13"/>
          <w:rFonts w:hint="default" w:ascii="Arial" w:hAnsi="Arial" w:cs="Arial"/>
          <w:i w:val="0"/>
          <w:caps w:val="0"/>
          <w:color w:val="000000"/>
          <w:spacing w:val="11"/>
          <w:sz w:val="21"/>
          <w:szCs w:val="21"/>
        </w:rPr>
        <w:t>7. 网上文献资料引征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【一般在末尾注释文献发布或上载日期，如无，则标注最后访问日期】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*梁戈：《评美国高教独立性存在与发展的历史条件》， http://www.edu.cn/20020318/3022829.shtml，最后访问日期：2008年8月1日。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Style w:val="13"/>
          <w:rFonts w:hint="default" w:ascii="Arial" w:hAnsi="Arial" w:cs="Arial"/>
          <w:i w:val="0"/>
          <w:caps w:val="0"/>
          <w:color w:val="000000"/>
          <w:spacing w:val="11"/>
          <w:sz w:val="21"/>
          <w:szCs w:val="21"/>
        </w:rPr>
        <w:t>8. 古籍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*（清）汪辉祖：《学治臆说》（卷下），清同治十年慎间堂刻汪龙庄先生遗书本，第4页b。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*（清）薛允升：《读例存疑》（重刊本），黄静嘉编校，台湾成文出版社1970年版，第858页。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Style w:val="13"/>
          <w:rFonts w:hint="default" w:ascii="Arial" w:hAnsi="Arial" w:cs="Arial"/>
          <w:i w:val="0"/>
          <w:caps w:val="0"/>
          <w:color w:val="000000"/>
          <w:spacing w:val="11"/>
          <w:sz w:val="21"/>
          <w:szCs w:val="21"/>
        </w:rPr>
        <w:t>9. 档案文献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  “沈宗富诉状”，嘉庆二十二年十二月二十日，巴县档案6-2-5505，四川省档案馆藏。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 “傅良佐致国务院电”，1917年9月15日，北洋档案1011-5961，中国第二历史档案馆藏。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  “党外人士座谈会记录”，1950年7月，李劼人档案，中共四川省委统战部档案室藏。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Style w:val="13"/>
          <w:rFonts w:hint="default" w:ascii="Arial" w:hAnsi="Arial" w:cs="Arial"/>
          <w:i w:val="0"/>
          <w:caps w:val="0"/>
          <w:color w:val="000000"/>
          <w:spacing w:val="11"/>
          <w:sz w:val="21"/>
          <w:szCs w:val="21"/>
        </w:rPr>
        <w:t> </w:t>
      </w:r>
    </w:p>
    <w:p>
      <w:pPr>
        <w:keepNext w:val="0"/>
        <w:keepLines w:val="0"/>
        <w:widowControl/>
        <w:suppressLineNumbers w:val="0"/>
        <w:jc w:val="left"/>
        <w:rPr>
          <w:sz w:val="21"/>
          <w:szCs w:val="21"/>
        </w:rPr>
      </w:pPr>
      <w:r>
        <w:rPr>
          <w:rStyle w:val="13"/>
          <w:rFonts w:ascii="宋体" w:hAnsi="宋体" w:eastAsia="宋体" w:cs="宋体"/>
          <w:color w:val="000000"/>
          <w:kern w:val="0"/>
          <w:sz w:val="21"/>
          <w:szCs w:val="21"/>
          <w:lang w:val="en-US" w:eastAsia="zh-CN" w:bidi="ar"/>
        </w:rPr>
        <w:t>（二）英文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【著作名、期刊名用斜体，其他不斜体】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Style w:val="13"/>
          <w:rFonts w:hint="default" w:ascii="Arial" w:hAnsi="Arial" w:cs="Arial"/>
          <w:i w:val="0"/>
          <w:caps w:val="0"/>
          <w:color w:val="000000"/>
          <w:spacing w:val="11"/>
          <w:sz w:val="21"/>
          <w:szCs w:val="21"/>
        </w:rPr>
        <w:t>1．英文期刊文章 Consecutively Paginated Journals 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【一般格式为…vol. #, no. #, 2010, p. X.】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 Frank K. Upham, “Who Will Find the Defendant if He Stays with His Sheep? Justice in Rural China”, </w:t>
      </w:r>
      <w:r>
        <w:rPr>
          <w:rStyle w:val="14"/>
          <w:rFonts w:hint="default" w:ascii="Arial" w:hAnsi="Arial" w:cs="Arial"/>
          <w:b w:val="0"/>
          <w:i/>
          <w:caps w:val="0"/>
          <w:color w:val="333333"/>
          <w:spacing w:val="11"/>
          <w:sz w:val="21"/>
          <w:szCs w:val="21"/>
        </w:rPr>
        <w:t>Yale Law Journal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, vol.114, no. 7, 2005, p.1677.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Style w:val="13"/>
          <w:rFonts w:hint="default" w:ascii="Arial" w:hAnsi="Arial" w:cs="Arial"/>
          <w:i w:val="0"/>
          <w:caps w:val="0"/>
          <w:color w:val="000000"/>
          <w:spacing w:val="11"/>
          <w:sz w:val="21"/>
          <w:szCs w:val="21"/>
        </w:rPr>
        <w:t>2．文集中的文章 Shorter Works in Collection 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【注意区分例二和例三】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 Lars Anell,</w:t>
      </w:r>
      <w:r>
        <w:rPr>
          <w:rStyle w:val="14"/>
          <w:rFonts w:hint="default" w:ascii="Arial" w:hAnsi="Arial" w:cs="Arial"/>
          <w:b w:val="0"/>
          <w:i/>
          <w:caps w:val="0"/>
          <w:color w:val="333333"/>
          <w:spacing w:val="11"/>
          <w:sz w:val="21"/>
          <w:szCs w:val="21"/>
        </w:rPr>
        <w:t> 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“Foreword”, in Daniel Gervais,</w:t>
      </w:r>
      <w:r>
        <w:rPr>
          <w:rStyle w:val="14"/>
          <w:rFonts w:hint="default" w:ascii="Arial" w:hAnsi="Arial" w:cs="Arial"/>
          <w:b w:val="0"/>
          <w:i/>
          <w:caps w:val="0"/>
          <w:color w:val="333333"/>
          <w:spacing w:val="11"/>
          <w:sz w:val="21"/>
          <w:szCs w:val="21"/>
        </w:rPr>
        <w:t> The TRIPS Agreement: Drafting History and Analysis (3</w:t>
      </w:r>
      <w:r>
        <w:rPr>
          <w:rStyle w:val="14"/>
          <w:rFonts w:hint="default" w:ascii="Arial" w:hAnsi="Arial" w:cs="Arial"/>
          <w:b w:val="0"/>
          <w:i/>
          <w:caps w:val="0"/>
          <w:color w:val="333333"/>
          <w:spacing w:val="11"/>
          <w:sz w:val="21"/>
          <w:szCs w:val="21"/>
          <w:vertAlign w:val="superscript"/>
        </w:rPr>
        <w:t>rd</w:t>
      </w:r>
      <w:r>
        <w:rPr>
          <w:rStyle w:val="14"/>
          <w:rFonts w:hint="default" w:ascii="Arial" w:hAnsi="Arial" w:cs="Arial"/>
          <w:b w:val="0"/>
          <w:i/>
          <w:caps w:val="0"/>
          <w:color w:val="333333"/>
          <w:spacing w:val="11"/>
          <w:sz w:val="21"/>
          <w:szCs w:val="21"/>
        </w:rPr>
        <w:t>edition)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, Sweet &amp; Maxwell, 2008, p. 10.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 Robert J. Antonio, “KarlMarx”, in George Ritzer and Jeffrey Stepnisky (eds.), </w:t>
      </w:r>
      <w:r>
        <w:rPr>
          <w:rStyle w:val="14"/>
          <w:rFonts w:hint="default" w:ascii="Arial" w:hAnsi="Arial" w:cs="Arial"/>
          <w:b w:val="0"/>
          <w:i/>
          <w:caps w:val="0"/>
          <w:color w:val="333333"/>
          <w:spacing w:val="11"/>
          <w:sz w:val="21"/>
          <w:szCs w:val="21"/>
        </w:rPr>
        <w:t>The Wiley-Blackwell Companion to Major Social Theorists (volme I): Classical Social Theorists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, Blackwell Publishing, 2011, pp. 116-125.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 John Rawls, “Kantian Constructivism in Moral Theory”, in John Rawls,</w:t>
      </w:r>
      <w:r>
        <w:rPr>
          <w:rStyle w:val="14"/>
          <w:rFonts w:hint="default" w:ascii="Arial" w:hAnsi="Arial" w:cs="Arial"/>
          <w:b w:val="0"/>
          <w:i/>
          <w:caps w:val="0"/>
          <w:color w:val="333333"/>
          <w:spacing w:val="11"/>
          <w:sz w:val="21"/>
          <w:szCs w:val="21"/>
        </w:rPr>
        <w:t> Collected Papers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, Samuel Freeman (ed.), Harvard University Press, 1999, p.300.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Style w:val="13"/>
          <w:rFonts w:hint="default" w:ascii="Arial" w:hAnsi="Arial" w:cs="Arial"/>
          <w:i w:val="0"/>
          <w:caps w:val="0"/>
          <w:color w:val="000000"/>
          <w:spacing w:val="11"/>
          <w:sz w:val="21"/>
          <w:szCs w:val="21"/>
        </w:rPr>
        <w:t>3．英文书 Books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 Richard A. Posner, </w:t>
      </w:r>
      <w:r>
        <w:rPr>
          <w:rStyle w:val="14"/>
          <w:rFonts w:hint="default" w:ascii="Arial" w:hAnsi="Arial" w:cs="Arial"/>
          <w:b w:val="0"/>
          <w:i/>
          <w:caps w:val="0"/>
          <w:color w:val="333333"/>
          <w:spacing w:val="11"/>
          <w:sz w:val="21"/>
          <w:szCs w:val="21"/>
        </w:rPr>
        <w:t>The Problems of Jurisprudence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, Harvard University Press, 1990, pp. 456-457.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Style w:val="13"/>
          <w:rFonts w:hint="default" w:ascii="Arial" w:hAnsi="Arial" w:cs="Arial"/>
          <w:i w:val="0"/>
          <w:caps w:val="0"/>
          <w:color w:val="000000"/>
          <w:spacing w:val="11"/>
          <w:sz w:val="21"/>
          <w:szCs w:val="21"/>
        </w:rPr>
        <w:t>4. 非英文著作的英译本 English Translations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 Otfried Höffe, </w:t>
      </w:r>
      <w:r>
        <w:rPr>
          <w:rStyle w:val="14"/>
          <w:rFonts w:hint="default" w:ascii="Arial" w:hAnsi="Arial" w:cs="Arial"/>
          <w:b w:val="0"/>
          <w:i/>
          <w:caps w:val="0"/>
          <w:color w:val="333333"/>
          <w:spacing w:val="11"/>
          <w:sz w:val="21"/>
          <w:szCs w:val="21"/>
        </w:rPr>
        <w:t>Kant’s Cosmopolitan Theory of Law and Peace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, Alexandra Newton (trans.), Cambridge University Press, 2006, p. 100.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Style w:val="13"/>
          <w:rFonts w:hint="default" w:ascii="Arial" w:hAnsi="Arial" w:cs="Arial"/>
          <w:i w:val="0"/>
          <w:caps w:val="0"/>
          <w:color w:val="000000"/>
          <w:spacing w:val="11"/>
          <w:sz w:val="21"/>
          <w:szCs w:val="21"/>
        </w:rPr>
        <w:t>5．英美案例 Cases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【正文中出现也要斜体】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 </w:t>
      </w:r>
      <w:r>
        <w:rPr>
          <w:rStyle w:val="14"/>
          <w:rFonts w:hint="default" w:ascii="Arial" w:hAnsi="Arial" w:cs="Arial"/>
          <w:b w:val="0"/>
          <w:i/>
          <w:caps w:val="0"/>
          <w:color w:val="333333"/>
          <w:spacing w:val="11"/>
          <w:sz w:val="21"/>
          <w:szCs w:val="21"/>
        </w:rPr>
        <w:t>New York Times Co. v. Sullivan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, 76 U.S. 254 (1964).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 </w:t>
      </w:r>
      <w:r>
        <w:rPr>
          <w:rStyle w:val="14"/>
          <w:rFonts w:hint="default" w:ascii="Arial" w:hAnsi="Arial" w:cs="Arial"/>
          <w:b w:val="0"/>
          <w:i/>
          <w:caps w:val="0"/>
          <w:color w:val="333333"/>
          <w:spacing w:val="11"/>
          <w:sz w:val="21"/>
          <w:szCs w:val="21"/>
        </w:rPr>
        <w:t>Kobe, Inc. v. Dempsey Pump Co.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, 198 F.2d 416, 420 (10th Cir. 1952).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Style w:val="13"/>
          <w:rFonts w:hint="default" w:ascii="Arial" w:hAnsi="Arial" w:cs="Arial"/>
          <w:i w:val="0"/>
          <w:caps w:val="0"/>
          <w:color w:val="000000"/>
          <w:spacing w:val="11"/>
          <w:sz w:val="21"/>
          <w:szCs w:val="21"/>
        </w:rPr>
        <w:t>6．未发表文章 Unpublished Manuscripts 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【尽量少引或不引此类文献】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 Yu Li, </w:t>
      </w:r>
      <w:r>
        <w:rPr>
          <w:rStyle w:val="14"/>
          <w:rFonts w:hint="default" w:ascii="Arial" w:hAnsi="Arial" w:cs="Arial"/>
          <w:b w:val="0"/>
          <w:i/>
          <w:caps w:val="0"/>
          <w:color w:val="333333"/>
          <w:spacing w:val="11"/>
          <w:sz w:val="21"/>
          <w:szCs w:val="21"/>
        </w:rPr>
        <w:t>On the Wealth and Risk Effects of the Glass-Steagall Overhaul: Evidence from the Stock Market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, New York University, 2001 (</w:t>
      </w:r>
      <w:r>
        <w:rPr>
          <w:rStyle w:val="14"/>
          <w:rFonts w:hint="default" w:ascii="Arial" w:hAnsi="Arial" w:cs="Arial"/>
          <w:b w:val="0"/>
          <w:i/>
          <w:caps w:val="0"/>
          <w:color w:val="333333"/>
          <w:spacing w:val="11"/>
          <w:sz w:val="21"/>
          <w:szCs w:val="21"/>
        </w:rPr>
        <w:t>unpublished manuscript, on file with author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).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Style w:val="13"/>
          <w:rFonts w:hint="default" w:ascii="Arial" w:hAnsi="Arial" w:cs="Arial"/>
          <w:i w:val="0"/>
          <w:caps w:val="0"/>
          <w:color w:val="000000"/>
          <w:spacing w:val="11"/>
          <w:sz w:val="21"/>
          <w:szCs w:val="21"/>
        </w:rPr>
        <w:t>7.信件 Letters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 Letter from A to B of 12/23/2005, p. 2.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Style w:val="13"/>
          <w:rFonts w:hint="default" w:ascii="Arial" w:hAnsi="Arial" w:cs="Arial"/>
          <w:i w:val="0"/>
          <w:caps w:val="0"/>
          <w:color w:val="000000"/>
          <w:spacing w:val="11"/>
          <w:sz w:val="21"/>
          <w:szCs w:val="21"/>
        </w:rPr>
        <w:t>8. 采访 Interviews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 Telephone interview with A, (Oct 2, 1992).【如该采访刊载于网站等平台上，须参照前述有关引征网页资料的格式进行标注。】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Style w:val="13"/>
          <w:rFonts w:hint="default" w:ascii="Arial" w:hAnsi="Arial" w:cs="Arial"/>
          <w:i w:val="0"/>
          <w:caps w:val="0"/>
          <w:color w:val="000000"/>
          <w:spacing w:val="11"/>
          <w:sz w:val="21"/>
          <w:szCs w:val="21"/>
        </w:rPr>
        <w:t>9. 网页 Internet Sources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【应注明公布（上载）日期，如无可标注最后访问日期】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 Lu Xue, </w:t>
      </w:r>
      <w:r>
        <w:rPr>
          <w:rStyle w:val="14"/>
          <w:rFonts w:hint="default" w:ascii="Arial" w:hAnsi="Arial" w:cs="Arial"/>
          <w:b w:val="0"/>
          <w:i/>
          <w:caps w:val="0"/>
          <w:color w:val="333333"/>
          <w:spacing w:val="11"/>
          <w:sz w:val="21"/>
          <w:szCs w:val="21"/>
        </w:rPr>
        <w:t>Zhou Zhengqing Talks on the Forthcoming Revision of Securities Law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（</w:t>
      </w:r>
      <w:r>
        <w:rPr>
          <w:rStyle w:val="14"/>
          <w:rFonts w:hint="default" w:ascii="Arial" w:hAnsi="Arial" w:cs="Arial"/>
          <w:b w:val="0"/>
          <w:i/>
          <w:caps w:val="0"/>
          <w:color w:val="333333"/>
          <w:spacing w:val="11"/>
          <w:sz w:val="21"/>
          <w:szCs w:val="21"/>
        </w:rPr>
        <w:t>XXXX, 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5 July 2017</w:t>
      </w:r>
      <w:r>
        <w:rPr>
          <w:rStyle w:val="14"/>
          <w:rFonts w:hint="default" w:ascii="Arial" w:hAnsi="Arial" w:cs="Arial"/>
          <w:b w:val="0"/>
          <w:i/>
          <w:caps w:val="0"/>
          <w:color w:val="333333"/>
          <w:spacing w:val="11"/>
          <w:sz w:val="21"/>
          <w:szCs w:val="21"/>
        </w:rPr>
        <w:t>）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, at http://www.fsi.com.cn/celeb300/visited303/303_0312/303_03123001. htm (last visited Aug. 1, 2018).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Style w:val="13"/>
          <w:rFonts w:hint="default" w:ascii="Arial" w:hAnsi="Arial" w:cs="Arial"/>
          <w:i w:val="0"/>
          <w:caps w:val="0"/>
          <w:color w:val="000000"/>
          <w:spacing w:val="11"/>
          <w:sz w:val="21"/>
          <w:szCs w:val="21"/>
        </w:rPr>
        <w:t> </w:t>
      </w:r>
    </w:p>
    <w:p>
      <w:pPr>
        <w:keepNext w:val="0"/>
        <w:keepLines w:val="0"/>
        <w:widowControl/>
        <w:suppressLineNumbers w:val="0"/>
        <w:jc w:val="left"/>
        <w:rPr>
          <w:sz w:val="21"/>
          <w:szCs w:val="21"/>
        </w:rPr>
      </w:pPr>
      <w:r>
        <w:rPr>
          <w:rStyle w:val="13"/>
          <w:rFonts w:ascii="宋体" w:hAnsi="宋体" w:eastAsia="宋体" w:cs="宋体"/>
          <w:color w:val="000000"/>
          <w:kern w:val="0"/>
          <w:sz w:val="21"/>
          <w:szCs w:val="21"/>
          <w:lang w:val="en-US" w:eastAsia="zh-CN" w:bidi="ar"/>
        </w:rPr>
        <w:t>（三）德文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【著作名、期刊名用斜体，其他不斜体】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Style w:val="13"/>
          <w:rFonts w:hint="default" w:ascii="Arial" w:hAnsi="Arial" w:cs="Arial"/>
          <w:i w:val="0"/>
          <w:caps w:val="0"/>
          <w:color w:val="000000"/>
          <w:spacing w:val="11"/>
          <w:sz w:val="21"/>
          <w:szCs w:val="21"/>
        </w:rPr>
        <w:t>1. 教科书：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作者、书名、版次、出版年份、章名、边码或页码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 Jescheck/Weigend, </w:t>
      </w:r>
      <w:r>
        <w:rPr>
          <w:rStyle w:val="14"/>
          <w:rFonts w:hint="default" w:ascii="Arial" w:hAnsi="Arial" w:cs="Arial"/>
          <w:b w:val="0"/>
          <w:i/>
          <w:caps w:val="0"/>
          <w:color w:val="333333"/>
          <w:spacing w:val="11"/>
          <w:sz w:val="21"/>
          <w:szCs w:val="21"/>
        </w:rPr>
        <w:t>Lehrbuch des Strafrechts Allgemeiner Teil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, 5. Aufl., 1996, § 6, Rn. 371/S. 651ff.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【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  <w:u w:val="single"/>
        </w:rPr>
        <w:t>注意：ff.之前没有空格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】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Style w:val="13"/>
          <w:rFonts w:hint="default" w:ascii="Arial" w:hAnsi="Arial" w:cs="Arial"/>
          <w:i w:val="0"/>
          <w:caps w:val="0"/>
          <w:color w:val="000000"/>
          <w:spacing w:val="11"/>
          <w:sz w:val="21"/>
          <w:szCs w:val="21"/>
        </w:rPr>
        <w:t>2. 专著：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作者、书名、版次、出版年份、页码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 Roxin, </w:t>
      </w:r>
      <w:r>
        <w:rPr>
          <w:rStyle w:val="14"/>
          <w:rFonts w:hint="default" w:ascii="Arial" w:hAnsi="Arial" w:cs="Arial"/>
          <w:b w:val="0"/>
          <w:i/>
          <w:caps w:val="0"/>
          <w:color w:val="333333"/>
          <w:spacing w:val="11"/>
          <w:sz w:val="21"/>
          <w:szCs w:val="21"/>
        </w:rPr>
        <w:t>Täterschaft und Tatherrschaft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, 7. Aufl., 2000, S. 431.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Style w:val="13"/>
          <w:rFonts w:hint="default" w:ascii="Arial" w:hAnsi="Arial" w:cs="Arial"/>
          <w:i w:val="0"/>
          <w:caps w:val="0"/>
          <w:color w:val="000000"/>
          <w:spacing w:val="11"/>
          <w:sz w:val="21"/>
          <w:szCs w:val="21"/>
        </w:rPr>
        <w:t>3. 评注：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作者、评注名称、版次、出版年份、条名、边码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 Crame/Heine, in: Schönke/Schröder, 27. Aufl., 2006, § 13, Rn. 601ff.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Style w:val="13"/>
          <w:rFonts w:hint="default" w:ascii="Arial" w:hAnsi="Arial" w:cs="Arial"/>
          <w:i w:val="0"/>
          <w:caps w:val="0"/>
          <w:color w:val="000000"/>
          <w:spacing w:val="11"/>
          <w:sz w:val="21"/>
          <w:szCs w:val="21"/>
        </w:rPr>
        <w:t>4. 论文：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作者、论文题目、刊物名称、卷册号、出版年份、首页码、所引页码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 Schaffstein, Soziale Adäquanz und Tatbestandslehre, </w:t>
      </w:r>
      <w:r>
        <w:rPr>
          <w:rStyle w:val="14"/>
          <w:rFonts w:hint="default" w:ascii="Arial" w:hAnsi="Arial" w:cs="Arial"/>
          <w:b w:val="0"/>
          <w:i/>
          <w:caps w:val="0"/>
          <w:color w:val="333333"/>
          <w:spacing w:val="11"/>
          <w:sz w:val="21"/>
          <w:szCs w:val="21"/>
        </w:rPr>
        <w:t>ZStW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 72 (1960), 369, 369.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Style w:val="13"/>
          <w:rFonts w:hint="default" w:ascii="Arial" w:hAnsi="Arial" w:cs="Arial"/>
          <w:i w:val="0"/>
          <w:caps w:val="0"/>
          <w:color w:val="000000"/>
          <w:spacing w:val="11"/>
          <w:sz w:val="21"/>
          <w:szCs w:val="21"/>
        </w:rPr>
        <w:t>5. 祝寿文集：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作者、论文题目、文集名称、出版年份、页码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 Roxin, Der Anfang des beendeten Versuchs, </w:t>
      </w:r>
      <w:r>
        <w:rPr>
          <w:rStyle w:val="14"/>
          <w:rFonts w:hint="default" w:ascii="Arial" w:hAnsi="Arial" w:cs="Arial"/>
          <w:b w:val="0"/>
          <w:i/>
          <w:caps w:val="0"/>
          <w:color w:val="333333"/>
          <w:spacing w:val="11"/>
          <w:sz w:val="21"/>
          <w:szCs w:val="21"/>
        </w:rPr>
        <w:t>FS-Maurach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, 1972, S. 213.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【文集名称保留简写方式。例如，</w:t>
      </w:r>
      <w:r>
        <w:rPr>
          <w:rStyle w:val="14"/>
          <w:rFonts w:hint="default" w:ascii="Arial" w:hAnsi="Arial" w:cs="Arial"/>
          <w:b w:val="0"/>
          <w:i/>
          <w:caps w:val="0"/>
          <w:color w:val="333333"/>
          <w:spacing w:val="11"/>
          <w:sz w:val="21"/>
          <w:szCs w:val="21"/>
          <w:u w:val="single"/>
        </w:rPr>
        <w:t>Festschrift für Küper zum 70 Geburtstag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  <w:u w:val="single"/>
        </w:rPr>
        <w:t>简写为</w:t>
      </w:r>
      <w:r>
        <w:rPr>
          <w:rStyle w:val="14"/>
          <w:rFonts w:hint="default" w:ascii="Arial" w:hAnsi="Arial" w:cs="Arial"/>
          <w:b w:val="0"/>
          <w:i/>
          <w:caps w:val="0"/>
          <w:color w:val="333333"/>
          <w:spacing w:val="11"/>
          <w:sz w:val="21"/>
          <w:szCs w:val="21"/>
          <w:u w:val="single"/>
        </w:rPr>
        <w:t>FS-Küper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】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Style w:val="13"/>
          <w:rFonts w:hint="default" w:ascii="Arial" w:hAnsi="Arial" w:cs="Arial"/>
          <w:i w:val="0"/>
          <w:caps w:val="0"/>
          <w:color w:val="000000"/>
          <w:spacing w:val="11"/>
          <w:sz w:val="21"/>
          <w:szCs w:val="21"/>
        </w:rPr>
        <w:t>6. 一般文集：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作者、论文题目、编者、文集名称，出版年份、页码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 Hass, Kritik der Tatherrschaftslehre, in: Kaufmann/Renzikowski (Hrsg.), </w:t>
      </w:r>
      <w:r>
        <w:rPr>
          <w:rStyle w:val="14"/>
          <w:rFonts w:hint="default" w:ascii="Arial" w:hAnsi="Arial" w:cs="Arial"/>
          <w:b w:val="0"/>
          <w:i/>
          <w:caps w:val="0"/>
          <w:color w:val="333333"/>
          <w:spacing w:val="11"/>
          <w:sz w:val="21"/>
          <w:szCs w:val="21"/>
        </w:rPr>
        <w:t>Zurechnung als Operationalisierung von Verantwortung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, 2004, S. 197.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Style w:val="13"/>
          <w:rFonts w:hint="default" w:ascii="Arial" w:hAnsi="Arial" w:cs="Arial"/>
          <w:i w:val="0"/>
          <w:caps w:val="0"/>
          <w:color w:val="000000"/>
          <w:spacing w:val="11"/>
          <w:sz w:val="21"/>
          <w:szCs w:val="21"/>
        </w:rPr>
        <w:t>7. 判例：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判例集名称或者发布判例机构名称、卷册号、首页码、所引页码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 BGHSt 17, 359 (360).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 BGH NJW 1991, 1543 (1544).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 BGH NStZ-RR 1999, 185.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Style w:val="13"/>
          <w:rFonts w:hint="default" w:ascii="Arial" w:hAnsi="Arial" w:cs="Arial"/>
          <w:i w:val="0"/>
          <w:caps w:val="0"/>
          <w:color w:val="000000"/>
          <w:spacing w:val="11"/>
          <w:sz w:val="21"/>
          <w:szCs w:val="21"/>
        </w:rPr>
        <w:t>8. 法律法规：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具体条文序号、法典（规）名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【原则上以“§”标明条文数，以罗马数字标明所引款，以“Nr.”标记所引项。对于《基本法》以及国际条约等以 Art.表示条文数的，以 Art.标明条文数。】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 §32 II StGB.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 §58a I Nr. 2 StPO.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 Art. 2 II GG.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【法典或法规名称，有惯用缩写的，使用缩写。没有惯用缩写的，注明全称】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 </w:t>
      </w:r>
    </w:p>
    <w:p>
      <w:pPr>
        <w:keepNext w:val="0"/>
        <w:keepLines w:val="0"/>
        <w:widowControl/>
        <w:suppressLineNumbers w:val="0"/>
        <w:jc w:val="left"/>
        <w:rPr>
          <w:sz w:val="21"/>
          <w:szCs w:val="21"/>
        </w:rPr>
      </w:pPr>
      <w:r>
        <w:rPr>
          <w:rStyle w:val="13"/>
          <w:rFonts w:ascii="宋体" w:hAnsi="宋体" w:eastAsia="宋体" w:cs="宋体"/>
          <w:color w:val="000000"/>
          <w:kern w:val="0"/>
          <w:sz w:val="21"/>
          <w:szCs w:val="21"/>
          <w:lang w:val="en-US" w:eastAsia="zh-CN" w:bidi="ar"/>
        </w:rPr>
        <w:t>（四）日文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Style w:val="13"/>
          <w:rFonts w:hint="default" w:ascii="Arial" w:hAnsi="Arial" w:cs="Arial"/>
          <w:i w:val="0"/>
          <w:caps w:val="0"/>
          <w:color w:val="000000"/>
          <w:spacing w:val="11"/>
          <w:sz w:val="21"/>
          <w:szCs w:val="21"/>
        </w:rPr>
        <w:t>【「」『』为繁体字输入法状态下shift+[]组合键】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Style w:val="13"/>
          <w:rFonts w:hint="default" w:ascii="Arial" w:hAnsi="Arial" w:cs="Arial"/>
          <w:i w:val="0"/>
          <w:caps w:val="0"/>
          <w:color w:val="000000"/>
          <w:spacing w:val="11"/>
          <w:sz w:val="21"/>
          <w:szCs w:val="21"/>
        </w:rPr>
        <w:t>1. 书籍：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作者、书名、版次、出版社、年份、页码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 我妻栄『新訂担保物権法(民法講義III) 』，有斐閣1971 年版，50 頁。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  我妻栄=有泉亨『民法総則物権法(法律学体系·コンメンタール篇)』，日本評論社1950 年版，31 頁。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 参照我妻栄=有泉亨『民法総則物権法(法律学体系·コンメンタール篇)』，日本評論社1950 年版，31 頁。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【对作者进行提炼或解读时的格式】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【如系多位作者合著的，则在作者之间加=】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Style w:val="13"/>
          <w:rFonts w:hint="default" w:ascii="Arial" w:hAnsi="Arial" w:cs="Arial"/>
          <w:i w:val="0"/>
          <w:caps w:val="0"/>
          <w:color w:val="000000"/>
          <w:spacing w:val="11"/>
          <w:sz w:val="21"/>
          <w:szCs w:val="21"/>
        </w:rPr>
        <w:t>2. 论文：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作者、文章名称、杂志名称、出版年份（卷号）、页码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 於保不二雄「付加物及び従物と抵当権」，民商法雑誌1954年 29 巻5号，1頁以下。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【论文名加“「」”，杂志名称不加符号，杂志名称用全称】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【多位作者合著的参照前述体例】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Style w:val="13"/>
          <w:rFonts w:hint="default" w:ascii="Arial" w:hAnsi="Arial" w:cs="Arial"/>
          <w:i w:val="0"/>
          <w:caps w:val="0"/>
          <w:color w:val="000000"/>
          <w:spacing w:val="11"/>
          <w:sz w:val="21"/>
          <w:szCs w:val="21"/>
        </w:rPr>
        <w:t>3. 文集：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作者、文章名称、编者、文集名称、出版社、年份、页码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 佐藤英明「一時所得の要件に関する覚書」，金子宏ほか編『租税法と市場』，有斐閣2014 年版，220 頁。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Style w:val="13"/>
          <w:rFonts w:hint="default" w:ascii="Arial" w:hAnsi="Arial" w:cs="Arial"/>
          <w:i w:val="0"/>
          <w:caps w:val="0"/>
          <w:color w:val="000000"/>
          <w:spacing w:val="11"/>
          <w:sz w:val="21"/>
          <w:szCs w:val="21"/>
        </w:rPr>
        <w:t>4. 案例：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判决机构名称、判决日期、所在法律文件名称（卷号）、页码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 大審院 1919 年 3 月 3 日判決，大審院民事判決録 25 輯 ，356 頁。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 最高裁判所 1982 年 7 月 15 日判決，最高裁判所民事判例集 36 巻 6 号 ，1113 頁。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Style w:val="13"/>
          <w:rFonts w:hint="default" w:ascii="Arial" w:hAnsi="Arial" w:cs="Arial"/>
          <w:i w:val="0"/>
          <w:caps w:val="0"/>
          <w:color w:val="000000"/>
          <w:spacing w:val="11"/>
          <w:sz w:val="21"/>
          <w:szCs w:val="21"/>
        </w:rPr>
        <w:t>5. 官方文件：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文件名称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 「平成 26 年版犯罪白書」による。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【による为固定格式】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Style w:val="13"/>
          <w:rFonts w:hint="default" w:ascii="Arial" w:hAnsi="Arial" w:cs="Arial"/>
          <w:i w:val="0"/>
          <w:caps w:val="0"/>
          <w:color w:val="000000"/>
          <w:spacing w:val="11"/>
          <w:sz w:val="21"/>
          <w:szCs w:val="21"/>
        </w:rPr>
        <w:t>6. 新聞报纸：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名称、发行时间、刊物类型（朝刊/夕刊の別）、版面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*『日本経済新聞』1992年6月23日朝刊。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 </w:t>
      </w:r>
    </w:p>
    <w:p>
      <w:pPr>
        <w:keepNext w:val="0"/>
        <w:keepLines w:val="0"/>
        <w:widowControl/>
        <w:suppressLineNumbers w:val="0"/>
        <w:jc w:val="left"/>
        <w:rPr>
          <w:sz w:val="21"/>
          <w:szCs w:val="21"/>
        </w:rPr>
      </w:pPr>
      <w:r>
        <w:rPr>
          <w:rStyle w:val="13"/>
          <w:rFonts w:ascii="宋体" w:hAnsi="宋体" w:eastAsia="宋体" w:cs="宋体"/>
          <w:color w:val="000000"/>
          <w:kern w:val="0"/>
          <w:sz w:val="21"/>
          <w:szCs w:val="21"/>
          <w:lang w:val="en-US" w:eastAsia="zh-CN" w:bidi="ar"/>
        </w:rPr>
        <w:t>（五）法文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【著作名、期刊名用斜体，其他不斜体】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Style w:val="13"/>
          <w:rFonts w:hint="default" w:ascii="Arial" w:hAnsi="Arial" w:cs="Arial"/>
          <w:i w:val="0"/>
          <w:caps w:val="0"/>
          <w:color w:val="000000"/>
          <w:spacing w:val="11"/>
          <w:sz w:val="21"/>
          <w:szCs w:val="21"/>
        </w:rPr>
        <w:t>1. 书籍：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作者、书名、出版社、版次、出版年份、页码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 Marc Chevallier, </w:t>
      </w:r>
      <w:r>
        <w:rPr>
          <w:rStyle w:val="14"/>
          <w:rFonts w:hint="default" w:ascii="Arial" w:hAnsi="Arial" w:cs="Arial"/>
          <w:b w:val="0"/>
          <w:i/>
          <w:caps w:val="0"/>
          <w:color w:val="333333"/>
          <w:spacing w:val="11"/>
          <w:sz w:val="21"/>
          <w:szCs w:val="21"/>
        </w:rPr>
        <w:t>L’État de droit, 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Montchrestien, 4e éd., Paris, 2003, pp. 16-29.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Style w:val="13"/>
          <w:rFonts w:hint="default" w:ascii="Arial" w:hAnsi="Arial" w:cs="Arial"/>
          <w:i w:val="0"/>
          <w:caps w:val="0"/>
          <w:color w:val="000000"/>
          <w:spacing w:val="11"/>
          <w:sz w:val="21"/>
          <w:szCs w:val="21"/>
        </w:rPr>
        <w:t>2.论文：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作者、论文题目、刊物名称、卷册号、出版年份、页码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 Marc Poisson, « Le droit de la mer » , </w:t>
      </w:r>
      <w:r>
        <w:rPr>
          <w:rStyle w:val="14"/>
          <w:rFonts w:hint="default" w:ascii="Arial" w:hAnsi="Arial" w:cs="Arial"/>
          <w:b w:val="0"/>
          <w:i/>
          <w:caps w:val="0"/>
          <w:color w:val="333333"/>
          <w:spacing w:val="11"/>
          <w:sz w:val="21"/>
          <w:szCs w:val="21"/>
        </w:rPr>
        <w:t>RGDIP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, 2015, pp. 15-47.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 Claire Badiou-Mouferran, « La promotion esthétique du pathétique dans la seconde moitiédu XVIIe siècle »,</w:t>
      </w:r>
      <w:r>
        <w:rPr>
          <w:rStyle w:val="14"/>
          <w:rFonts w:hint="default" w:ascii="Arial" w:hAnsi="Arial" w:cs="Arial"/>
          <w:b w:val="0"/>
          <w:i/>
          <w:caps w:val="0"/>
          <w:color w:val="333333"/>
          <w:spacing w:val="11"/>
          <w:sz w:val="21"/>
          <w:szCs w:val="21"/>
        </w:rPr>
        <w:t>La Licorne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, n°43, 1997, pp. 75-94.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【 « »为英文半角状态下的双引号格式】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Style w:val="13"/>
          <w:rFonts w:hint="default" w:ascii="Arial" w:hAnsi="Arial" w:cs="Arial"/>
          <w:i w:val="0"/>
          <w:caps w:val="0"/>
          <w:color w:val="000000"/>
          <w:spacing w:val="11"/>
          <w:sz w:val="21"/>
          <w:szCs w:val="21"/>
        </w:rPr>
        <w:t>3. 文集文章：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作者、论文题目、编者、文集名称，出版年份、页码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 Marc Poisson, «Le droit de la mer », in R. Lapieuvre (dir.),</w:t>
      </w:r>
      <w:r>
        <w:rPr>
          <w:rStyle w:val="14"/>
          <w:rFonts w:hint="default" w:ascii="Arial" w:hAnsi="Arial" w:cs="Arial"/>
          <w:b w:val="0"/>
          <w:i/>
          <w:caps w:val="0"/>
          <w:color w:val="333333"/>
          <w:spacing w:val="11"/>
          <w:sz w:val="21"/>
          <w:szCs w:val="21"/>
        </w:rPr>
        <w:t> Le droit des Océans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, Éditions de la mer, 2015, pp. 12-48.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Style w:val="13"/>
          <w:rFonts w:hint="default" w:ascii="Arial" w:hAnsi="Arial" w:cs="Arial"/>
          <w:i w:val="0"/>
          <w:caps w:val="0"/>
          <w:color w:val="000000"/>
          <w:spacing w:val="11"/>
          <w:sz w:val="21"/>
          <w:szCs w:val="21"/>
        </w:rPr>
        <w:t>4. 会议报告：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作者、报告名称、会议名称、报告日期、页数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 Marc Poisson, Le droit de la mer en Méditerranée, Congrès de Marseille, juillet 2016, pp. 228-229.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Style w:val="13"/>
          <w:rFonts w:hint="default" w:ascii="Arial" w:hAnsi="Arial" w:cs="Arial"/>
          <w:i w:val="0"/>
          <w:caps w:val="0"/>
          <w:color w:val="000000"/>
          <w:spacing w:val="11"/>
          <w:sz w:val="21"/>
          <w:szCs w:val="21"/>
        </w:rPr>
        <w:t>5. 博硕士论文：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作者、论文名称、毕业学校（院系）、毕业（通过答辩）年份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 Marc Poisson, Le droit de la mer appliqué à la Méditerranée, Thèse de l’Universitéde Marseille, 17 juin 2016.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Style w:val="13"/>
          <w:rFonts w:hint="default" w:ascii="Arial" w:hAnsi="Arial" w:cs="Arial"/>
          <w:i w:val="0"/>
          <w:caps w:val="0"/>
          <w:color w:val="000000"/>
          <w:spacing w:val="11"/>
          <w:sz w:val="21"/>
          <w:szCs w:val="21"/>
        </w:rPr>
        <w:t>6. 法典法规：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条款，编号，法典（规）名称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 Art. 78 et s. de la Constitution du 24 juin 1793.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 Art. 6 de la Charte de l’élu local codifié à l’art. L. 1111-1-1 CGCT.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Style w:val="13"/>
          <w:rFonts w:hint="default" w:ascii="Arial" w:hAnsi="Arial" w:cs="Arial"/>
          <w:i w:val="0"/>
          <w:caps w:val="0"/>
          <w:color w:val="000000"/>
          <w:spacing w:val="11"/>
          <w:sz w:val="21"/>
          <w:szCs w:val="21"/>
        </w:rPr>
        <w:t>7.案例：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法院名称、审判庭名称、日期、案件名称和案件号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 CE. 15 février 2008, Commune de La Londe-les-Maures, req. n°279045.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 CIJ, Délimitation maritime en mer Noire (Roumanie c. Ukraine), 3 février 2009, CIJ Recueil 2009, p. 61.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【例二表示该案件已被载入案例汇编（Recueil），须标注具体页码】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Style w:val="13"/>
          <w:rFonts w:hint="default" w:ascii="Arial" w:hAnsi="Arial" w:cs="Arial"/>
          <w:i w:val="0"/>
          <w:caps w:val="0"/>
          <w:color w:val="000000"/>
          <w:spacing w:val="11"/>
          <w:sz w:val="21"/>
          <w:szCs w:val="21"/>
        </w:rPr>
        <w:t>8. 网络信息：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作者、题目、网址、上传（公布）日期或最后访问日期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* Béatrice Joyeux-Prunel, « L’histoire de l’art et le quantitatif », Histoire &amp; mesure, vol. XXIII, n°2, 2008, En ligne: http ://histoiremesure.revues.org/index3543.html. Consultéle 17 mars 2010.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【只有在无法查明上传（公布）日期时，才需注明最后访问日期】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 </w:t>
      </w:r>
    </w:p>
    <w:p>
      <w:pPr>
        <w:keepNext w:val="0"/>
        <w:keepLines w:val="0"/>
        <w:widowControl/>
        <w:suppressLineNumbers w:val="0"/>
        <w:jc w:val="left"/>
        <w:rPr>
          <w:sz w:val="21"/>
          <w:szCs w:val="21"/>
        </w:rPr>
      </w:pPr>
      <w:r>
        <w:rPr>
          <w:rStyle w:val="13"/>
          <w:rFonts w:ascii="宋体" w:hAnsi="宋体" w:eastAsia="宋体" w:cs="宋体"/>
          <w:color w:val="000000"/>
          <w:kern w:val="0"/>
          <w:sz w:val="21"/>
          <w:szCs w:val="21"/>
          <w:lang w:val="en-US" w:eastAsia="zh-CN" w:bidi="ar"/>
        </w:rPr>
        <w:t>四、重复引注规则（一）中文文献一律为“同前注〔X〕，第2页。”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【如被重复引用的脚注中不只一个文献，则仍需标明具体所引文献的作者姓氏和文献名称信息，具体格式按照上述相应规则处理】</w:t>
      </w:r>
    </w:p>
    <w:p>
      <w:pPr>
        <w:keepNext w:val="0"/>
        <w:keepLines w:val="0"/>
        <w:widowControl/>
        <w:suppressLineNumbers w:val="0"/>
        <w:jc w:val="left"/>
        <w:rPr>
          <w:sz w:val="21"/>
          <w:szCs w:val="21"/>
        </w:rPr>
      </w:pPr>
      <w:r>
        <w:rPr>
          <w:rStyle w:val="13"/>
          <w:rFonts w:ascii="宋体" w:hAnsi="宋体" w:eastAsia="宋体" w:cs="宋体"/>
          <w:color w:val="000000"/>
          <w:kern w:val="0"/>
          <w:sz w:val="21"/>
          <w:szCs w:val="21"/>
          <w:lang w:val="en-US" w:eastAsia="zh-CN" w:bidi="ar"/>
        </w:rPr>
        <w:t>（二）同页次第紧连文献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注释中重复引用文献、资料时，若为注释中同页次第紧连援用同一文献的情形，应根据文献语言类型，按以下方式分别标明：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1. 英文文献：</w:t>
      </w:r>
      <w:r>
        <w:rPr>
          <w:rStyle w:val="14"/>
          <w:rFonts w:hint="default" w:ascii="Arial" w:hAnsi="Arial" w:cs="Arial"/>
          <w:b w:val="0"/>
          <w:i/>
          <w:caps w:val="0"/>
          <w:color w:val="333333"/>
          <w:spacing w:val="11"/>
          <w:sz w:val="21"/>
          <w:szCs w:val="21"/>
        </w:rPr>
        <w:t>Id.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, p. 2.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2. 德文文献：Kaser/Hackl, a.a.O., S. 35.http://www.cs.com.cn/sylm/jsbd/201703/t20170314_5207088.html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3. 日文文献：同正文格式，但字体应为日本汉字。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4. 法文文献：</w:t>
      </w:r>
      <w:r>
        <w:rPr>
          <w:rStyle w:val="14"/>
          <w:rFonts w:hint="default" w:ascii="Arial" w:hAnsi="Arial" w:cs="Arial"/>
          <w:b w:val="0"/>
          <w:i/>
          <w:caps w:val="0"/>
          <w:color w:val="333333"/>
          <w:spacing w:val="11"/>
          <w:sz w:val="21"/>
          <w:szCs w:val="21"/>
        </w:rPr>
        <w:t>Ibid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., p. xx-xy fait référence àplusieurs pages de ce même ouvrage.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【如被重复引用的脚注中不只一个文献，则仍需标明具体所引文献的作者姓氏和文献名称信息，具体格式按照上述相应规则处理】</w:t>
      </w:r>
    </w:p>
    <w:p>
      <w:pPr>
        <w:keepNext w:val="0"/>
        <w:keepLines w:val="0"/>
        <w:widowControl/>
        <w:suppressLineNumbers w:val="0"/>
        <w:jc w:val="left"/>
        <w:rPr>
          <w:sz w:val="21"/>
          <w:szCs w:val="21"/>
        </w:rPr>
      </w:pPr>
      <w:r>
        <w:rPr>
          <w:rStyle w:val="13"/>
          <w:rFonts w:ascii="宋体" w:hAnsi="宋体" w:eastAsia="宋体" w:cs="宋体"/>
          <w:color w:val="000000"/>
          <w:kern w:val="0"/>
          <w:sz w:val="21"/>
          <w:szCs w:val="21"/>
          <w:lang w:val="en-US" w:eastAsia="zh-CN" w:bidi="ar"/>
        </w:rPr>
        <w:t>（三）非次第紧连文献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若为非次第紧连的文献，可将文献的版次、出处等简略，根据文献语言类型，按以下方式分别标明：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1. 英文文献：</w:t>
      </w:r>
      <w:r>
        <w:rPr>
          <w:rStyle w:val="14"/>
          <w:rFonts w:hint="default" w:ascii="Arial" w:hAnsi="Arial" w:cs="Arial"/>
          <w:b w:val="0"/>
          <w:i/>
          <w:caps w:val="0"/>
          <w:color w:val="333333"/>
          <w:spacing w:val="11"/>
          <w:sz w:val="21"/>
          <w:szCs w:val="21"/>
        </w:rPr>
        <w:t>supra</w:t>
      </w: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 note〔X〕,  p. 2.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2. 德文文献：Leenen (Fn. 2), Rn. 2.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3. 日文文献：同正文格式，但字体应为日本汉字。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4. 法文文献：Marc Poisson, Le droit de la mer, op. cit., p. 212.</w:t>
      </w:r>
    </w:p>
    <w:p>
      <w:pPr>
        <w:pStyle w:val="10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8" w:lineRule="atLeast"/>
        <w:ind w:left="0" w:right="0" w:firstLine="420"/>
        <w:jc w:val="left"/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</w:pPr>
      <w:r>
        <w:rPr>
          <w:rFonts w:hint="default" w:ascii="Arial" w:hAnsi="Arial" w:cs="Arial"/>
          <w:b w:val="0"/>
          <w:i w:val="0"/>
          <w:caps w:val="0"/>
          <w:color w:val="333333"/>
          <w:spacing w:val="11"/>
          <w:sz w:val="21"/>
          <w:szCs w:val="21"/>
        </w:rPr>
        <w:t>【如被重复引用的脚注中不只一个文献，则仍需标明具体所引文献的作者姓氏和文献名称信息，具体格式按照上述相应规则处理】</w:t>
      </w:r>
    </w:p>
    <w:p>
      <w:pPr>
        <w:keepNext w:val="0"/>
        <w:keepLines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76" w:lineRule="auto"/>
        <w:ind w:left="0" w:right="0" w:firstLine="42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1"/>
          <w:szCs w:val="21"/>
          <w:u w:val="single"/>
          <w:shd w:val="clear" w:fill="auto"/>
          <w:vertAlign w:val="baseline"/>
        </w:rPr>
      </w:pPr>
    </w:p>
    <w:p>
      <w:pPr>
        <w:keepNext w:val="0"/>
        <w:keepLines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76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1"/>
          <w:szCs w:val="21"/>
          <w:u w:val="none"/>
          <w:shd w:val="clear" w:fill="auto"/>
          <w:vertAlign w:val="baseline"/>
        </w:rPr>
      </w:pPr>
    </w:p>
    <w:sectPr>
      <w:pgSz w:w="11906" w:h="16838"/>
      <w:pgMar w:top="1440" w:right="1797" w:bottom="1440" w:left="1797" w:header="851" w:footer="992" w:gutter="0"/>
      <w:pgNumType w:start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jaVu Sans">
    <w:altName w:val="苹方-简"/>
    <w:panose1 w:val="02020603050405020304"/>
    <w:charset w:val="00"/>
    <w:family w:val="roman"/>
    <w:pitch w:val="default"/>
    <w:sig w:usb0="20007A87" w:usb1="80000000" w:usb2="00000008" w:usb3="00000000" w:csb0="000001FF" w:csb1="00000000"/>
  </w:font>
  <w:font w:name="方正书宋_GBK">
    <w:altName w:val="汉仪书宋二KW"/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altName w:val="苹方-简"/>
    <w:panose1 w:val="02000000000000000000"/>
    <w:charset w:val="00"/>
    <w:family w:val="auto"/>
    <w:pitch w:val="default"/>
    <w:sig w:usb0="00000001" w:usb1="08000000" w:usb2="00000000" w:usb3="00000000" w:csb0="0004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altName w:val="Verdana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苹方-简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Verdana">
    <w:panose1 w:val="020B0604030504040204"/>
    <w:charset w:val="00"/>
    <w:family w:val="auto"/>
    <w:pitch w:val="default"/>
    <w:sig w:usb0="A10006FF" w:usb1="4000205B" w:usb2="00000010" w:usb3="00000000" w:csb0="2000019F" w:csb1="00000000"/>
  </w:font>
  <w:font w:name="Georgia">
    <w:panose1 w:val="02040802050405020203"/>
    <w:charset w:val="00"/>
    <w:family w:val="auto"/>
    <w:pitch w:val="default"/>
    <w:sig w:usb0="00000287" w:usb1="00000000" w:usb2="00000000" w:usb3="00000000" w:csb0="2000009F" w:csb1="00000000"/>
  </w:font>
  <w:font w:name="Gungsuh">
    <w:altName w:val="苹方-简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宋体-简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PingFangHK">
    <w:altName w:val="苹方-简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ahoma">
    <w:panose1 w:val="020B0804030504040204"/>
    <w:charset w:val="00"/>
    <w:family w:val="auto"/>
    <w:pitch w:val="default"/>
    <w:sig w:usb0="E1002AFF" w:usb1="C000605B" w:usb2="00000029" w:usb3="00000000" w:csb0="200101FF" w:csb1="20280000"/>
  </w:font>
  <w:font w:name="-webkit-standard">
    <w:altName w:val="苹方-简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90204"/>
    <w:charset w:val="00"/>
    <w:family w:val="auto"/>
    <w:pitch w:val="default"/>
    <w:sig w:usb0="E0000AFF" w:usb1="00007843" w:usb2="00000001" w:usb3="00000000" w:csb0="400001BF" w:csb1="DFF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81886C"/>
    <w:multiLevelType w:val="singleLevel"/>
    <w:tmpl w:val="5D81886C"/>
    <w:lvl w:ilvl="0" w:tentative="0">
      <w:start w:val="3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1"/>
  <w:doNotDisplayPageBoundaries w:val="1"/>
  <w:bordersDoNotSurroundHeader w:val="0"/>
  <w:bordersDoNotSurroundFooter w:val="0"/>
  <w:documentProtection w:enforcement="0"/>
  <w:defaultTabStop w:val="720"/>
  <w:displayHorizontalDrawingGridEvery w:val="1"/>
  <w:displayVerticalDrawingGridEvery w:val="1"/>
  <w:noPunctuationKerning w:val="1"/>
  <w:compat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</w:compat>
  <w:rsids>
    <w:rsidRoot w:val="00000000"/>
    <w:rsid w:val="2DDECB4D"/>
    <w:rsid w:val="5FEB8332"/>
    <w:rsid w:val="73FEDB8D"/>
    <w:rsid w:val="7DA6754C"/>
    <w:rsid w:val="7FDB63F4"/>
    <w:rsid w:val="C3CFACDC"/>
    <w:rsid w:val="ECFF34B5"/>
    <w:rsid w:val="FC87DC7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480" w:after="120"/>
    </w:pPr>
    <w:rPr>
      <w:b/>
      <w:sz w:val="48"/>
      <w:szCs w:val="48"/>
    </w:rPr>
  </w:style>
  <w:style w:type="paragraph" w:styleId="3">
    <w:name w:val="heading 2"/>
    <w:basedOn w:val="1"/>
    <w:next w:val="1"/>
    <w:qFormat/>
    <w:uiPriority w:val="0"/>
    <w:pPr>
      <w:keepNext/>
      <w:keepLines/>
      <w:spacing w:before="360" w:after="80"/>
    </w:pPr>
    <w:rPr>
      <w:b/>
      <w:sz w:val="36"/>
      <w:szCs w:val="36"/>
    </w:rPr>
  </w:style>
  <w:style w:type="paragraph" w:styleId="4">
    <w:name w:val="heading 3"/>
    <w:basedOn w:val="1"/>
    <w:next w:val="1"/>
    <w:qFormat/>
    <w:uiPriority w:val="0"/>
    <w:pPr>
      <w:keepNext/>
      <w:keepLines/>
      <w:spacing w:before="280" w:after="80"/>
    </w:pPr>
    <w:rPr>
      <w:b/>
      <w:sz w:val="28"/>
      <w:szCs w:val="28"/>
    </w:rPr>
  </w:style>
  <w:style w:type="paragraph" w:styleId="5">
    <w:name w:val="heading 4"/>
    <w:basedOn w:val="1"/>
    <w:next w:val="1"/>
    <w:qFormat/>
    <w:uiPriority w:val="0"/>
    <w:pPr>
      <w:keepNext/>
      <w:keepLines/>
      <w:spacing w:before="240" w:after="40"/>
    </w:pPr>
    <w:rPr>
      <w:b/>
      <w:sz w:val="24"/>
      <w:szCs w:val="24"/>
    </w:rPr>
  </w:style>
  <w:style w:type="paragraph" w:styleId="6">
    <w:name w:val="heading 5"/>
    <w:basedOn w:val="1"/>
    <w:next w:val="1"/>
    <w:qFormat/>
    <w:uiPriority w:val="0"/>
    <w:pPr>
      <w:keepNext/>
      <w:keepLines/>
      <w:spacing w:before="220" w:after="40"/>
    </w:pPr>
    <w:rPr>
      <w:b/>
      <w:sz w:val="22"/>
      <w:szCs w:val="22"/>
    </w:rPr>
  </w:style>
  <w:style w:type="paragraph" w:styleId="7">
    <w:name w:val="heading 6"/>
    <w:basedOn w:val="1"/>
    <w:next w:val="1"/>
    <w:qFormat/>
    <w:uiPriority w:val="0"/>
    <w:pPr>
      <w:keepNext/>
      <w:keepLines/>
      <w:spacing w:before="200" w:after="40"/>
    </w:pPr>
    <w:rPr>
      <w:b/>
      <w:sz w:val="20"/>
      <w:szCs w:val="20"/>
    </w:rPr>
  </w:style>
  <w:style w:type="character" w:default="1" w:styleId="12">
    <w:name w:val="Default Paragraph Font"/>
    <w:semiHidden/>
    <w:qFormat/>
    <w:uiPriority w:val="0"/>
  </w:style>
  <w:style w:type="table" w:default="1" w:styleId="1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8">
    <w:name w:val="annotation text"/>
    <w:basedOn w:val="1"/>
    <w:qFormat/>
    <w:uiPriority w:val="0"/>
    <w:pPr>
      <w:jc w:val="left"/>
    </w:pPr>
  </w:style>
  <w:style w:type="paragraph" w:styleId="9">
    <w:name w:val="Subtitle"/>
    <w:basedOn w:val="1"/>
    <w:next w:val="1"/>
    <w:qFormat/>
    <w:uiPriority w:val="0"/>
    <w:pPr>
      <w:keepNext/>
      <w:keepLines/>
      <w:spacing w:before="360" w:after="80"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10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1">
    <w:name w:val="Title"/>
    <w:basedOn w:val="1"/>
    <w:next w:val="1"/>
    <w:qFormat/>
    <w:uiPriority w:val="0"/>
    <w:pPr>
      <w:keepNext/>
      <w:keepLines/>
      <w:spacing w:before="480" w:after="120"/>
    </w:pPr>
    <w:rPr>
      <w:b/>
      <w:sz w:val="72"/>
      <w:szCs w:val="72"/>
    </w:rPr>
  </w:style>
  <w:style w:type="character" w:styleId="13">
    <w:name w:val="Strong"/>
    <w:basedOn w:val="12"/>
    <w:qFormat/>
    <w:uiPriority w:val="0"/>
    <w:rPr>
      <w:b/>
    </w:rPr>
  </w:style>
  <w:style w:type="character" w:styleId="14">
    <w:name w:val="Emphasis"/>
    <w:basedOn w:val="12"/>
    <w:qFormat/>
    <w:uiPriority w:val="0"/>
    <w:rPr>
      <w:i/>
    </w:rPr>
  </w:style>
  <w:style w:type="table" w:customStyle="1" w:styleId="16">
    <w:name w:val="Table Normal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ScaleCrop>false</ScaleCrop>
  <LinksUpToDate>false</LinksUpToDate>
  <Application>WPS Office_2.1.0.3383_F1E327BC-269C-435d-A152-05C5408002CA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2019-07-14T15:01:00Z</dcterms:created>
  <dc:creator>Data</dc:creator>
  <cp:lastModifiedBy>编号KD1</cp:lastModifiedBy>
  <dcterms:modified xsi:type="dcterms:W3CDTF">2020-05-15T22:06:11Z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2052-2.1.0.3383</vt:lpwstr>
  </property>
</Properties>
</file>